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DB30" w14:textId="77777777" w:rsidR="001C17F2" w:rsidRPr="001C17F2" w:rsidRDefault="001C17F2" w:rsidP="001C17F2">
      <w:pPr>
        <w:rPr>
          <w:b/>
          <w:bCs/>
          <w:sz w:val="28"/>
          <w:szCs w:val="28"/>
        </w:rPr>
      </w:pPr>
      <w:r w:rsidRPr="001C17F2">
        <w:rPr>
          <w:b/>
          <w:bCs/>
          <w:sz w:val="28"/>
          <w:szCs w:val="28"/>
        </w:rPr>
        <w:t xml:space="preserve">Руководство пользователя </w:t>
      </w:r>
    </w:p>
    <w:p w14:paraId="4DD9A271" w14:textId="77777777" w:rsidR="001C17F2" w:rsidRDefault="001C17F2" w:rsidP="001C17F2">
      <w:r>
        <w:t xml:space="preserve">Благодарим вас за покупку нашего внешнего аккумулятора.  Пожалуйста, внимательно прочитайте руководство перед использованием, и обращайтесь к нему в </w:t>
      </w:r>
      <w:proofErr w:type="gramStart"/>
      <w:r>
        <w:t>случае  возникновения</w:t>
      </w:r>
      <w:proofErr w:type="gramEnd"/>
      <w:r>
        <w:t xml:space="preserve"> вопросов. </w:t>
      </w:r>
    </w:p>
    <w:p w14:paraId="3139B95F" w14:textId="77777777" w:rsidR="001C17F2" w:rsidRPr="001C17F2" w:rsidRDefault="001C17F2" w:rsidP="001C17F2">
      <w:pPr>
        <w:rPr>
          <w:b/>
          <w:bCs/>
          <w:sz w:val="32"/>
          <w:szCs w:val="32"/>
        </w:rPr>
      </w:pPr>
      <w:r w:rsidRPr="001C17F2">
        <w:rPr>
          <w:b/>
          <w:bCs/>
          <w:sz w:val="32"/>
          <w:szCs w:val="32"/>
        </w:rPr>
        <w:t>Внимание</w:t>
      </w:r>
    </w:p>
    <w:p w14:paraId="0E892FB5" w14:textId="77777777" w:rsidR="001C17F2" w:rsidRDefault="001C17F2" w:rsidP="001C17F2">
      <w:r>
        <w:t xml:space="preserve">1. Во время зарядки продукт немного нагревается, </w:t>
      </w:r>
      <w:proofErr w:type="gramStart"/>
      <w:r>
        <w:t>что  является</w:t>
      </w:r>
      <w:proofErr w:type="gramEnd"/>
      <w:r>
        <w:t xml:space="preserve"> нормальным и не является дефектом. 2. Перед первым использовании или если аккумулятор </w:t>
      </w:r>
      <w:proofErr w:type="gramStart"/>
      <w:r>
        <w:t>не  использовался</w:t>
      </w:r>
      <w:proofErr w:type="gramEnd"/>
      <w:r>
        <w:t xml:space="preserve"> в течение длительного времени, пожалуйста, предварительно зарядите его. </w:t>
      </w:r>
    </w:p>
    <w:p w14:paraId="3FF7DD17" w14:textId="77777777" w:rsidR="001C17F2" w:rsidRDefault="001C17F2" w:rsidP="001C17F2">
      <w:r>
        <w:t xml:space="preserve">3. Пожалуйста, храните внешний аккумулятор в </w:t>
      </w:r>
      <w:proofErr w:type="gramStart"/>
      <w:r>
        <w:t>полностью  заряженном</w:t>
      </w:r>
      <w:proofErr w:type="gramEnd"/>
      <w:r>
        <w:t xml:space="preserve"> состоянии или когда в аккумуляторе осталось  достаточно заряда (от 40% до 70%), иначе это может привести  к снижению производительности или срока службы устройства.</w:t>
      </w:r>
    </w:p>
    <w:p w14:paraId="22E986E3" w14:textId="77777777" w:rsidR="001C17F2" w:rsidRDefault="001C17F2" w:rsidP="001C17F2">
      <w:r>
        <w:t xml:space="preserve">4. В случае долгих перерывов в использовании, </w:t>
      </w:r>
      <w:proofErr w:type="gramStart"/>
      <w:r>
        <w:t>рекомендуется  полностью</w:t>
      </w:r>
      <w:proofErr w:type="gramEnd"/>
      <w:r>
        <w:t xml:space="preserve"> заряжать устройство раз в 1-3 месяца, в противном случае возможно повреждение аккумулятора. </w:t>
      </w:r>
    </w:p>
    <w:p w14:paraId="73E86989" w14:textId="77777777" w:rsidR="001C17F2" w:rsidRDefault="001C17F2" w:rsidP="001C17F2">
      <w:r>
        <w:t xml:space="preserve">5. Диапазон выходного напряжения внешнего аккумулятора составляет 4,75–5,25 В. Если диапазон входного </w:t>
      </w:r>
      <w:proofErr w:type="gramStart"/>
      <w:r>
        <w:t>напряжения,  требуемый</w:t>
      </w:r>
      <w:proofErr w:type="gramEnd"/>
      <w:r>
        <w:t xml:space="preserve"> вашим устройством, находится за этими  пределами, не рекомендуется использовать внешний  аккумулятор для питания вашего устройства во избежание его  повреждения. </w:t>
      </w:r>
    </w:p>
    <w:p w14:paraId="36259A04" w14:textId="77777777" w:rsidR="001C17F2" w:rsidRDefault="001C17F2" w:rsidP="001C17F2">
      <w:r>
        <w:t xml:space="preserve">6. Используйте только совместимые USB коннекторы. 7. Все электронные компоненты </w:t>
      </w:r>
      <w:proofErr w:type="spellStart"/>
      <w:r>
        <w:t>долны</w:t>
      </w:r>
      <w:proofErr w:type="spellEnd"/>
      <w:r>
        <w:t xml:space="preserve"> храниться </w:t>
      </w:r>
      <w:proofErr w:type="gramStart"/>
      <w:r>
        <w:t>и  использовать</w:t>
      </w:r>
      <w:proofErr w:type="gramEnd"/>
      <w:r>
        <w:t xml:space="preserve"> только в </w:t>
      </w:r>
      <w:proofErr w:type="spellStart"/>
      <w:r>
        <w:t>помещаниях</w:t>
      </w:r>
      <w:proofErr w:type="spellEnd"/>
      <w:r>
        <w:t xml:space="preserve"> с низкой влажностью. Использование устройства в помещениях с </w:t>
      </w:r>
      <w:proofErr w:type="gramStart"/>
      <w:r>
        <w:t>высокой  влажностью</w:t>
      </w:r>
      <w:proofErr w:type="gramEnd"/>
      <w:r>
        <w:t xml:space="preserve"> уменьшит сроки эксплуатации устройства.  </w:t>
      </w:r>
    </w:p>
    <w:p w14:paraId="5B925EFF" w14:textId="77777777" w:rsidR="001C17F2" w:rsidRDefault="001C17F2" w:rsidP="001C17F2"/>
    <w:p w14:paraId="19534AC9" w14:textId="77777777" w:rsidR="001C17F2" w:rsidRDefault="001C17F2" w:rsidP="001C17F2"/>
    <w:p w14:paraId="6AF27D08" w14:textId="1827803A" w:rsidR="001C17F2" w:rsidRDefault="001C17F2" w:rsidP="001C17F2">
      <w:r>
        <w:t xml:space="preserve">Чтобы зарядить аккумулятор, подключите его к выходному </w:t>
      </w:r>
      <w:proofErr w:type="gramStart"/>
      <w:r>
        <w:t>порту  зарядного</w:t>
      </w:r>
      <w:proofErr w:type="gramEnd"/>
      <w:r>
        <w:t xml:space="preserve"> устройства или компьютера через USB-кабель. </w:t>
      </w:r>
      <w:proofErr w:type="gramStart"/>
      <w:r>
        <w:t>Мобильное  устройство</w:t>
      </w:r>
      <w:proofErr w:type="gramEnd"/>
      <w:r>
        <w:t xml:space="preserve"> заряжается, когда мигает индикатор питания. Когда индикатор начнет гореть красным, устройство зарядилось. </w:t>
      </w:r>
    </w:p>
    <w:p w14:paraId="73B382EE" w14:textId="77777777" w:rsidR="001C17F2" w:rsidRPr="001C17F2" w:rsidRDefault="001C17F2" w:rsidP="001C17F2">
      <w:pPr>
        <w:rPr>
          <w:b/>
          <w:bCs/>
          <w:sz w:val="28"/>
          <w:szCs w:val="28"/>
        </w:rPr>
      </w:pPr>
      <w:r w:rsidRPr="001C17F2">
        <w:rPr>
          <w:b/>
          <w:bCs/>
          <w:sz w:val="28"/>
          <w:szCs w:val="28"/>
        </w:rPr>
        <w:t xml:space="preserve">Зарядка внешних устройств </w:t>
      </w:r>
    </w:p>
    <w:p w14:paraId="1096AF8B" w14:textId="3E6F0238" w:rsidR="001C17F2" w:rsidRDefault="001C17F2" w:rsidP="001C17F2">
      <w:r>
        <w:t xml:space="preserve">Для зарядки внешних устройств подключите зарядный кабель </w:t>
      </w:r>
      <w:proofErr w:type="gramStart"/>
      <w:r>
        <w:t>к  выходному</w:t>
      </w:r>
      <w:proofErr w:type="gramEnd"/>
      <w:r>
        <w:t xml:space="preserve"> разъему аккумулятора. При зарядке внешних </w:t>
      </w:r>
      <w:proofErr w:type="gramStart"/>
      <w:r>
        <w:t>устройств  индикатор</w:t>
      </w:r>
      <w:proofErr w:type="gramEnd"/>
      <w:r>
        <w:t xml:space="preserve"> будет мигать. </w:t>
      </w:r>
    </w:p>
    <w:p w14:paraId="7FD92DC6" w14:textId="77777777" w:rsidR="001C17F2" w:rsidRPr="001C17F2" w:rsidRDefault="001C17F2" w:rsidP="001C17F2">
      <w:pPr>
        <w:rPr>
          <w:b/>
          <w:bCs/>
          <w:sz w:val="28"/>
          <w:szCs w:val="28"/>
        </w:rPr>
      </w:pPr>
      <w:r w:rsidRPr="001C17F2">
        <w:rPr>
          <w:b/>
          <w:bCs/>
          <w:sz w:val="28"/>
          <w:szCs w:val="28"/>
        </w:rPr>
        <w:t xml:space="preserve">Использование LED-фонарика </w:t>
      </w:r>
    </w:p>
    <w:p w14:paraId="1C056203" w14:textId="43B4ED51" w:rsidR="001C17F2" w:rsidRDefault="001C17F2" w:rsidP="001C17F2">
      <w:r>
        <w:t xml:space="preserve">Нажмите кнопку </w:t>
      </w:r>
      <w:proofErr w:type="gramStart"/>
      <w:r>
        <w:t>в течении</w:t>
      </w:r>
      <w:proofErr w:type="gramEnd"/>
      <w:r>
        <w:t xml:space="preserve"> 1,5 секунды. Фонарик включится в </w:t>
      </w:r>
      <w:proofErr w:type="gramStart"/>
      <w:r>
        <w:t>режиме  слабого</w:t>
      </w:r>
      <w:proofErr w:type="gramEnd"/>
      <w:r>
        <w:t xml:space="preserve"> свечения. После второго нажатия включится режим яркого света.  Третье нажатие переведет фонарик в режим максимальной силы. </w:t>
      </w:r>
      <w:proofErr w:type="gramStart"/>
      <w:r>
        <w:t>Для  выключения</w:t>
      </w:r>
      <w:proofErr w:type="gramEnd"/>
      <w:r>
        <w:t xml:space="preserve"> фонарика удерживайте кнопку в течении 1,5 секунды.</w:t>
      </w:r>
    </w:p>
    <w:p w14:paraId="158DCD3B" w14:textId="77777777" w:rsidR="001C17F2" w:rsidRPr="001C17F2" w:rsidRDefault="001C17F2" w:rsidP="001C17F2">
      <w:pPr>
        <w:rPr>
          <w:b/>
          <w:bCs/>
          <w:sz w:val="28"/>
          <w:szCs w:val="28"/>
        </w:rPr>
      </w:pPr>
      <w:r w:rsidRPr="001C17F2">
        <w:rPr>
          <w:b/>
          <w:bCs/>
          <w:sz w:val="28"/>
          <w:szCs w:val="28"/>
        </w:rPr>
        <w:t xml:space="preserve">Состояние индикаторов при </w:t>
      </w:r>
      <w:proofErr w:type="gramStart"/>
      <w:r w:rsidRPr="001C17F2">
        <w:rPr>
          <w:b/>
          <w:bCs/>
          <w:sz w:val="28"/>
          <w:szCs w:val="28"/>
        </w:rPr>
        <w:t>разряде  и</w:t>
      </w:r>
      <w:proofErr w:type="gramEnd"/>
      <w:r w:rsidRPr="001C17F2">
        <w:rPr>
          <w:b/>
          <w:bCs/>
          <w:sz w:val="28"/>
          <w:szCs w:val="28"/>
        </w:rPr>
        <w:t xml:space="preserve"> использовании фонарика </w:t>
      </w:r>
    </w:p>
    <w:p w14:paraId="7C07167D" w14:textId="77777777" w:rsidR="001C17F2" w:rsidRDefault="001C17F2" w:rsidP="001C17F2">
      <w:r>
        <w:t xml:space="preserve">Белый индикатор мигает 4 раза: 75—100% </w:t>
      </w:r>
    </w:p>
    <w:p w14:paraId="36F6B33F" w14:textId="77777777" w:rsidR="001C17F2" w:rsidRDefault="001C17F2" w:rsidP="001C17F2">
      <w:r>
        <w:t xml:space="preserve">Белый индикатор мигает 3 раза: 50—75% </w:t>
      </w:r>
    </w:p>
    <w:p w14:paraId="314738DA" w14:textId="77777777" w:rsidR="001C17F2" w:rsidRDefault="001C17F2" w:rsidP="001C17F2">
      <w:r>
        <w:t xml:space="preserve">Белый индикатор мигает 2 раза: 25—50% </w:t>
      </w:r>
    </w:p>
    <w:p w14:paraId="145CC92E" w14:textId="77777777" w:rsidR="001C17F2" w:rsidRDefault="001C17F2" w:rsidP="001C17F2">
      <w:r>
        <w:t xml:space="preserve">Белый индикатор мигает 1 раза: 0—25% </w:t>
      </w:r>
    </w:p>
    <w:p w14:paraId="3A5522A1" w14:textId="77777777" w:rsidR="001C17F2" w:rsidRDefault="001C17F2" w:rsidP="001C17F2"/>
    <w:p w14:paraId="79188F0A" w14:textId="0F012780" w:rsidR="001C17F2" w:rsidRPr="001C17F2" w:rsidRDefault="001C17F2" w:rsidP="001C17F2">
      <w:pPr>
        <w:rPr>
          <w:b/>
          <w:bCs/>
          <w:sz w:val="28"/>
          <w:szCs w:val="28"/>
        </w:rPr>
      </w:pPr>
      <w:r w:rsidRPr="001C17F2">
        <w:rPr>
          <w:b/>
          <w:bCs/>
          <w:sz w:val="28"/>
          <w:szCs w:val="28"/>
        </w:rPr>
        <w:lastRenderedPageBreak/>
        <w:t xml:space="preserve">Технические характеристики </w:t>
      </w:r>
    </w:p>
    <w:p w14:paraId="3E347143" w14:textId="77777777" w:rsidR="001C17F2" w:rsidRDefault="001C17F2" w:rsidP="001C17F2">
      <w:r>
        <w:t xml:space="preserve">Модель/Product </w:t>
      </w:r>
      <w:proofErr w:type="gramStart"/>
      <w:r>
        <w:t xml:space="preserve">Model  </w:t>
      </w:r>
      <w:r>
        <w:rPr>
          <w:rFonts w:ascii="MS Gothic" w:eastAsia="MS Gothic" w:hAnsi="MS Gothic" w:cs="MS Gothic" w:hint="eastAsia"/>
        </w:rPr>
        <w:t>：</w:t>
      </w:r>
      <w:proofErr w:type="gramEnd"/>
      <w:r>
        <w:t xml:space="preserve">X3s </w:t>
      </w:r>
    </w:p>
    <w:p w14:paraId="7CE9F047" w14:textId="77777777" w:rsidR="001C17F2" w:rsidRPr="001C17F2" w:rsidRDefault="001C17F2" w:rsidP="001C17F2">
      <w:pPr>
        <w:rPr>
          <w:lang w:val="en-US"/>
        </w:rPr>
      </w:pPr>
      <w:proofErr w:type="spellStart"/>
      <w:r>
        <w:rPr>
          <w:rFonts w:hint="eastAsia"/>
        </w:rPr>
        <w:t>Вход</w:t>
      </w:r>
      <w:proofErr w:type="spellEnd"/>
      <w:r w:rsidRPr="001C17F2">
        <w:rPr>
          <w:lang w:val="en-US"/>
        </w:rPr>
        <w:t xml:space="preserve">/Input Port </w:t>
      </w:r>
      <w:r w:rsidRPr="001C17F2">
        <w:rPr>
          <w:rFonts w:ascii="MS Gothic" w:eastAsia="MS Gothic" w:hAnsi="MS Gothic" w:cs="MS Gothic" w:hint="eastAsia"/>
          <w:lang w:val="en-US"/>
        </w:rPr>
        <w:t>：</w:t>
      </w:r>
      <w:r w:rsidRPr="001C17F2">
        <w:rPr>
          <w:lang w:val="en-US"/>
        </w:rPr>
        <w:t xml:space="preserve">Type-C </w:t>
      </w:r>
    </w:p>
    <w:p w14:paraId="35B3C4F0" w14:textId="77777777" w:rsidR="001C17F2" w:rsidRPr="001C17F2" w:rsidRDefault="001C17F2" w:rsidP="001C17F2">
      <w:pPr>
        <w:rPr>
          <w:lang w:val="en-US"/>
        </w:rPr>
      </w:pPr>
      <w:proofErr w:type="spellStart"/>
      <w:r>
        <w:rPr>
          <w:rFonts w:hint="eastAsia"/>
        </w:rPr>
        <w:t>Выход</w:t>
      </w:r>
      <w:proofErr w:type="spellEnd"/>
      <w:r w:rsidRPr="001C17F2">
        <w:rPr>
          <w:lang w:val="en-US"/>
        </w:rPr>
        <w:t xml:space="preserve">/Output Port </w:t>
      </w:r>
      <w:r w:rsidRPr="001C17F2">
        <w:rPr>
          <w:rFonts w:ascii="MS Gothic" w:eastAsia="MS Gothic" w:hAnsi="MS Gothic" w:cs="MS Gothic" w:hint="eastAsia"/>
          <w:lang w:val="en-US"/>
        </w:rPr>
        <w:t>：</w:t>
      </w:r>
      <w:r w:rsidRPr="001C17F2">
        <w:rPr>
          <w:lang w:val="en-US"/>
        </w:rPr>
        <w:t xml:space="preserve">USB-A </w:t>
      </w:r>
    </w:p>
    <w:p w14:paraId="4C96E974" w14:textId="77777777" w:rsidR="001C17F2" w:rsidRDefault="001C17F2" w:rsidP="001C17F2">
      <w:proofErr w:type="spellStart"/>
      <w:r>
        <w:rPr>
          <w:rFonts w:hint="eastAsia"/>
        </w:rPr>
        <w:t>Мощность</w:t>
      </w:r>
      <w:proofErr w:type="spellEnd"/>
      <w:r>
        <w:t xml:space="preserve"> LED-фонарика </w:t>
      </w:r>
      <w:r>
        <w:rPr>
          <w:rFonts w:ascii="MS Gothic" w:eastAsia="MS Gothic" w:hAnsi="MS Gothic" w:cs="MS Gothic" w:hint="eastAsia"/>
        </w:rPr>
        <w:t>：</w:t>
      </w:r>
      <w:r>
        <w:t xml:space="preserve">2,1 Вт (макс.) </w:t>
      </w:r>
    </w:p>
    <w:p w14:paraId="5486DECE" w14:textId="77777777" w:rsidR="001C17F2" w:rsidRDefault="001C17F2" w:rsidP="001C17F2">
      <w:proofErr w:type="spellStart"/>
      <w:r>
        <w:rPr>
          <w:rFonts w:hint="eastAsia"/>
        </w:rPr>
        <w:t>Ёмкость</w:t>
      </w:r>
      <w:proofErr w:type="spellEnd"/>
      <w:r>
        <w:t xml:space="preserve"> литиевого аккумулятора /</w:t>
      </w:r>
      <w:proofErr w:type="spellStart"/>
      <w:r>
        <w:t>Lithium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：</w:t>
      </w:r>
      <w:r>
        <w:t xml:space="preserve">3000 </w:t>
      </w:r>
      <w:proofErr w:type="spellStart"/>
      <w:r>
        <w:t>мАч</w:t>
      </w:r>
      <w:proofErr w:type="spellEnd"/>
      <w:r>
        <w:t xml:space="preserve">/710.8 </w:t>
      </w:r>
      <w:proofErr w:type="spellStart"/>
      <w:r>
        <w:t>Втч</w:t>
      </w:r>
      <w:proofErr w:type="spellEnd"/>
      <w:r>
        <w:t xml:space="preserve"> </w:t>
      </w:r>
    </w:p>
    <w:p w14:paraId="551E729B" w14:textId="77777777" w:rsidR="001C17F2" w:rsidRDefault="001C17F2" w:rsidP="001C17F2">
      <w:proofErr w:type="spellStart"/>
      <w:r>
        <w:rPr>
          <w:rFonts w:hint="eastAsia"/>
        </w:rPr>
        <w:t>Номинальная</w:t>
      </w:r>
      <w:proofErr w:type="spellEnd"/>
      <w:r>
        <w:t xml:space="preserve"> мощность /</w:t>
      </w:r>
      <w:proofErr w:type="spellStart"/>
      <w:r>
        <w:t>Rated</w:t>
      </w:r>
      <w:proofErr w:type="spellEnd"/>
      <w:r>
        <w:t xml:space="preserve"> </w:t>
      </w:r>
      <w:proofErr w:type="spellStart"/>
      <w:proofErr w:type="gramStart"/>
      <w:r>
        <w:t>Capacity</w:t>
      </w:r>
      <w:proofErr w:type="spellEnd"/>
      <w:r>
        <w:t xml:space="preserve">  </w:t>
      </w:r>
      <w:r>
        <w:rPr>
          <w:rFonts w:ascii="MS Gothic" w:eastAsia="MS Gothic" w:hAnsi="MS Gothic" w:cs="MS Gothic" w:hint="eastAsia"/>
        </w:rPr>
        <w:t>：</w:t>
      </w:r>
      <w:proofErr w:type="gramEnd"/>
      <w:r>
        <w:t xml:space="preserve">1800 </w:t>
      </w:r>
      <w:proofErr w:type="spellStart"/>
      <w:r>
        <w:t>мАч</w:t>
      </w:r>
      <w:proofErr w:type="spellEnd"/>
      <w:r>
        <w:t xml:space="preserve"> </w:t>
      </w:r>
    </w:p>
    <w:p w14:paraId="0C1F821F" w14:textId="77777777" w:rsidR="001C17F2" w:rsidRDefault="001C17F2" w:rsidP="001C17F2">
      <w:proofErr w:type="spellStart"/>
      <w:r>
        <w:rPr>
          <w:rFonts w:hint="eastAsia"/>
        </w:rPr>
        <w:t>Вход</w:t>
      </w:r>
      <w:proofErr w:type="spellEnd"/>
      <w:r>
        <w:t>/</w:t>
      </w:r>
      <w:proofErr w:type="spellStart"/>
      <w:r>
        <w:t>Input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：</w:t>
      </w:r>
      <w:r>
        <w:t>5В 1 A(макс.)</w:t>
      </w:r>
    </w:p>
    <w:p w14:paraId="2FCFA2A0" w14:textId="77777777" w:rsidR="001C17F2" w:rsidRDefault="001C17F2" w:rsidP="001C17F2">
      <w:proofErr w:type="spellStart"/>
      <w:r>
        <w:rPr>
          <w:rFonts w:hint="eastAsia"/>
        </w:rPr>
        <w:t>Выход</w:t>
      </w:r>
      <w:proofErr w:type="spellEnd"/>
      <w:r>
        <w:t>/</w:t>
      </w:r>
      <w:proofErr w:type="spellStart"/>
      <w:r>
        <w:t>Output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：</w:t>
      </w:r>
      <w:r>
        <w:t>5В 1 A(макс.)</w:t>
      </w:r>
    </w:p>
    <w:p w14:paraId="4B9E92EA" w14:textId="77777777" w:rsidR="001C17F2" w:rsidRDefault="001C17F2" w:rsidP="001C17F2">
      <w:proofErr w:type="spellStart"/>
      <w:r>
        <w:rPr>
          <w:rFonts w:hint="eastAsia"/>
        </w:rPr>
        <w:t>Вес</w:t>
      </w:r>
      <w:proofErr w:type="spellEnd"/>
      <w:r>
        <w:t>/</w:t>
      </w:r>
      <w:proofErr w:type="spellStart"/>
      <w:r>
        <w:t>Weight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：</w:t>
      </w:r>
      <w:r>
        <w:t xml:space="preserve">465 г </w:t>
      </w:r>
    </w:p>
    <w:p w14:paraId="1D76FD17" w14:textId="77777777" w:rsidR="001C17F2" w:rsidRDefault="001C17F2" w:rsidP="001C17F2">
      <w:proofErr w:type="spellStart"/>
      <w:r>
        <w:rPr>
          <w:rFonts w:hint="eastAsia"/>
        </w:rPr>
        <w:t>Размеры</w:t>
      </w:r>
      <w:proofErr w:type="spellEnd"/>
      <w:r>
        <w:t xml:space="preserve"> /</w:t>
      </w:r>
      <w:proofErr w:type="spellStart"/>
      <w:r>
        <w:t>Dimensions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：</w:t>
      </w:r>
      <w:r>
        <w:t>25</w:t>
      </w:r>
      <w:r>
        <w:rPr>
          <w:rFonts w:ascii="Cambria Math" w:hAnsi="Cambria Math" w:cs="Cambria Math"/>
        </w:rPr>
        <w:t>⋅</w:t>
      </w:r>
      <w:r>
        <w:t>25</w:t>
      </w:r>
      <w:r>
        <w:rPr>
          <w:rFonts w:ascii="Cambria Math" w:hAnsi="Cambria Math" w:cs="Cambria Math"/>
        </w:rPr>
        <w:t>⋅</w:t>
      </w:r>
      <w:r>
        <w:t xml:space="preserve">117.2 </w:t>
      </w:r>
      <w:r>
        <w:rPr>
          <w:rFonts w:ascii="Calibri" w:hAnsi="Calibri" w:cs="Calibri"/>
        </w:rPr>
        <w:t>мм</w:t>
      </w:r>
    </w:p>
    <w:p w14:paraId="78D82C46" w14:textId="77777777" w:rsidR="001C17F2" w:rsidRDefault="001C17F2" w:rsidP="001C17F2">
      <w:proofErr w:type="spellStart"/>
      <w:r>
        <w:rPr>
          <w:rFonts w:hint="eastAsia"/>
        </w:rPr>
        <w:t>Соответствие</w:t>
      </w:r>
      <w:proofErr w:type="spellEnd"/>
      <w:r>
        <w:t xml:space="preserve"> стандарту/Standard </w:t>
      </w:r>
      <w:r>
        <w:rPr>
          <w:rFonts w:ascii="MS Gothic" w:eastAsia="MS Gothic" w:hAnsi="MS Gothic" w:cs="MS Gothic" w:hint="eastAsia"/>
        </w:rPr>
        <w:t>：</w:t>
      </w:r>
      <w:r>
        <w:t xml:space="preserve">GB/T 35590 - 2017 </w:t>
      </w:r>
    </w:p>
    <w:p w14:paraId="491E7D06" w14:textId="77777777" w:rsidR="00A47986" w:rsidRDefault="00A47986"/>
    <w:sectPr w:rsidR="00A4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F2"/>
    <w:rsid w:val="001C17F2"/>
    <w:rsid w:val="007C41F9"/>
    <w:rsid w:val="00A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D5E6"/>
  <w15:chartTrackingRefBased/>
  <w15:docId w15:val="{7635180C-EB97-4313-928A-C0A28AF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info@mi-house.ru</dc:creator>
  <cp:keywords/>
  <dc:description/>
  <cp:lastModifiedBy>info@mi-house.ru</cp:lastModifiedBy>
  <cp:revision>1</cp:revision>
  <dcterms:created xsi:type="dcterms:W3CDTF">2021-10-08T13:07:00Z</dcterms:created>
  <dcterms:modified xsi:type="dcterms:W3CDTF">2021-10-08T13:08:00Z</dcterms:modified>
</cp:coreProperties>
</file>